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5E7363"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0</w:t>
      </w:r>
      <w:r w:rsidR="00980866" w:rsidRPr="00F17ADB">
        <w:rPr>
          <w:rFonts w:asciiTheme="minorHAnsi" w:hAnsiTheme="minorHAnsi" w:cstheme="minorHAnsi"/>
          <w:sz w:val="18"/>
          <w:szCs w:val="18"/>
        </w:rPr>
        <w:t>9</w:t>
      </w:r>
      <w:r w:rsidR="00746DFC" w:rsidRPr="00F17ADB">
        <w:rPr>
          <w:rFonts w:asciiTheme="minorHAnsi" w:hAnsiTheme="minorHAnsi" w:cstheme="minorHAnsi"/>
          <w:sz w:val="18"/>
          <w:szCs w:val="18"/>
        </w:rPr>
        <w:t>/</w:t>
      </w:r>
      <w:r>
        <w:rPr>
          <w:rFonts w:asciiTheme="minorHAnsi" w:hAnsiTheme="minorHAnsi" w:cstheme="minorHAnsi"/>
          <w:sz w:val="18"/>
          <w:szCs w:val="18"/>
        </w:rPr>
        <w:t>08</w:t>
      </w:r>
      <w:r w:rsidR="00746DFC" w:rsidRPr="00F17ADB">
        <w:rPr>
          <w:rFonts w:asciiTheme="minorHAnsi" w:hAnsiTheme="minorHAnsi" w:cstheme="minorHAnsi"/>
          <w:sz w:val="18"/>
          <w:szCs w:val="18"/>
        </w:rPr>
        <w:t>/2012</w:t>
      </w:r>
      <w:proofErr w:type="gramEnd"/>
      <w:r w:rsidR="00746DFC" w:rsidRPr="00F17ADB">
        <w:rPr>
          <w:rFonts w:asciiTheme="minorHAnsi" w:hAnsiTheme="minorHAnsi" w:cstheme="minorHAnsi"/>
          <w:sz w:val="18"/>
          <w:szCs w:val="18"/>
        </w:rPr>
        <w:t xml:space="preserve"> tarih ve </w:t>
      </w:r>
      <w:r>
        <w:rPr>
          <w:rFonts w:asciiTheme="minorHAnsi" w:hAnsiTheme="minorHAnsi" w:cstheme="minorHAnsi"/>
          <w:sz w:val="18"/>
          <w:szCs w:val="18"/>
        </w:rPr>
        <w:t>28379</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746DFC" w:rsidRDefault="00746DFC" w:rsidP="00746DFC">
      <w:pPr>
        <w:pStyle w:val="1-Baslk"/>
        <w:spacing w:line="240" w:lineRule="exact"/>
        <w:ind w:firstLine="566"/>
        <w:jc w:val="center"/>
        <w:rPr>
          <w:b/>
          <w:sz w:val="18"/>
          <w:szCs w:val="18"/>
        </w:rPr>
      </w:pPr>
      <w:r w:rsidRPr="00746DFC">
        <w:rPr>
          <w:b/>
          <w:sz w:val="18"/>
          <w:szCs w:val="18"/>
        </w:rPr>
        <w:t>TEBL</w:t>
      </w:r>
      <w:r w:rsidRPr="00746DFC">
        <w:rPr>
          <w:b/>
          <w:sz w:val="18"/>
          <w:szCs w:val="18"/>
        </w:rPr>
        <w:t>İĞ</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0"/>
          <w:szCs w:val="20"/>
          <w:u w:val="single"/>
          <w:lang w:eastAsia="en-US"/>
        </w:rPr>
      </w:pPr>
      <w:r w:rsidRPr="00F17ADB">
        <w:rPr>
          <w:rFonts w:asciiTheme="minorHAnsi" w:eastAsia="ヒラギノ明朝 Pro W3" w:hAnsiTheme="minorHAnsi" w:cstheme="minorHAnsi"/>
          <w:sz w:val="20"/>
          <w:szCs w:val="20"/>
          <w:u w:val="single"/>
          <w:lang w:eastAsia="en-US"/>
        </w:rPr>
        <w:t>Gümrük ve Ticaret Bakanlığından:</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0"/>
          <w:szCs w:val="20"/>
          <w:u w:val="single"/>
          <w:lang w:eastAsia="en-US"/>
        </w:rPr>
      </w:pPr>
    </w:p>
    <w:p w:rsidR="00F17ADB" w:rsidRPr="00F17ADB" w:rsidRDefault="00F17ADB" w:rsidP="00F17ADB">
      <w:pPr>
        <w:spacing w:line="240" w:lineRule="exact"/>
        <w:jc w:val="center"/>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KÂR PAYI AVANSI DAĞITIMI HAKKINDA TEBLİĞ</w:t>
      </w:r>
    </w:p>
    <w:p w:rsidR="00F17ADB" w:rsidRPr="00F17ADB" w:rsidRDefault="00F17ADB" w:rsidP="00F17ADB">
      <w:pPr>
        <w:spacing w:line="240" w:lineRule="exact"/>
        <w:jc w:val="center"/>
        <w:rPr>
          <w:rFonts w:asciiTheme="minorHAnsi" w:eastAsia="ヒラギノ明朝 Pro W3" w:hAnsiTheme="minorHAnsi" w:cstheme="minorHAnsi"/>
          <w:b/>
          <w:sz w:val="22"/>
          <w:szCs w:val="22"/>
          <w:lang w:eastAsia="en-US"/>
        </w:rPr>
      </w:pPr>
    </w:p>
    <w:p w:rsidR="00F17ADB" w:rsidRPr="00F17ADB" w:rsidRDefault="00F17ADB" w:rsidP="00F17ADB">
      <w:pPr>
        <w:spacing w:line="240" w:lineRule="exact"/>
        <w:jc w:val="center"/>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BİRİNCİ BÖLÜM</w:t>
      </w:r>
      <w:bookmarkStart w:id="0" w:name="_GoBack"/>
      <w:bookmarkEnd w:id="0"/>
    </w:p>
    <w:p w:rsidR="00F17ADB" w:rsidRPr="00F17ADB" w:rsidRDefault="00F17ADB" w:rsidP="00F17ADB">
      <w:pPr>
        <w:spacing w:line="240" w:lineRule="exact"/>
        <w:jc w:val="center"/>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Amaç, Kapsam, Dayanak ve Tanımlar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Amaç</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1 –</w:t>
      </w:r>
      <w:r w:rsidRPr="00F17ADB">
        <w:rPr>
          <w:rFonts w:asciiTheme="minorHAnsi" w:eastAsia="ヒラギノ明朝 Pro W3" w:hAnsiTheme="minorHAnsi" w:cstheme="minorHAnsi"/>
          <w:sz w:val="22"/>
          <w:szCs w:val="22"/>
          <w:lang w:eastAsia="en-US"/>
        </w:rPr>
        <w:t xml:space="preserve"> (1) Bu Tebliğin amacı, şirketlerin kâr payı avansı dağıtımında uyacakları usul ve esasları düzenlemektir.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Kapsam</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2 –</w:t>
      </w:r>
      <w:r w:rsidRPr="00F17ADB">
        <w:rPr>
          <w:rFonts w:asciiTheme="minorHAnsi" w:eastAsia="ヒラギノ明朝 Pro W3" w:hAnsiTheme="minorHAnsi" w:cstheme="minorHAnsi"/>
          <w:sz w:val="22"/>
          <w:szCs w:val="22"/>
          <w:lang w:eastAsia="en-US"/>
        </w:rPr>
        <w:t xml:space="preserve"> (1) Bu Tebliğ, </w:t>
      </w:r>
      <w:proofErr w:type="gramStart"/>
      <w:r w:rsidRPr="00F17ADB">
        <w:rPr>
          <w:rFonts w:asciiTheme="minorHAnsi" w:eastAsia="ヒラギノ明朝 Pro W3" w:hAnsiTheme="minorHAnsi" w:cstheme="minorHAnsi"/>
          <w:sz w:val="22"/>
          <w:szCs w:val="22"/>
          <w:lang w:eastAsia="en-US"/>
        </w:rPr>
        <w:t>28/7/1981</w:t>
      </w:r>
      <w:proofErr w:type="gramEnd"/>
      <w:r w:rsidRPr="00F17ADB">
        <w:rPr>
          <w:rFonts w:asciiTheme="minorHAnsi" w:eastAsia="ヒラギノ明朝 Pro W3" w:hAnsiTheme="minorHAnsi" w:cstheme="minorHAnsi"/>
          <w:sz w:val="22"/>
          <w:szCs w:val="22"/>
          <w:lang w:eastAsia="en-US"/>
        </w:rPr>
        <w:t xml:space="preserve"> tarihli ve 2499 sayılı Sermaye Piyasası Kanununa tabi olmayan anonim şirketler ile </w:t>
      </w:r>
      <w:proofErr w:type="spellStart"/>
      <w:r w:rsidRPr="00F17ADB">
        <w:rPr>
          <w:rFonts w:asciiTheme="minorHAnsi" w:eastAsia="ヒラギノ明朝 Pro W3" w:hAnsiTheme="minorHAnsi" w:cstheme="minorHAnsi"/>
          <w:sz w:val="22"/>
          <w:szCs w:val="22"/>
          <w:lang w:eastAsia="en-US"/>
        </w:rPr>
        <w:t>limited</w:t>
      </w:r>
      <w:proofErr w:type="spellEnd"/>
      <w:r w:rsidRPr="00F17ADB">
        <w:rPr>
          <w:rFonts w:asciiTheme="minorHAnsi" w:eastAsia="ヒラギノ明朝 Pro W3" w:hAnsiTheme="minorHAnsi" w:cstheme="minorHAnsi"/>
          <w:sz w:val="22"/>
          <w:szCs w:val="22"/>
          <w:lang w:eastAsia="en-US"/>
        </w:rPr>
        <w:t xml:space="preserve"> ve sermayesi paylara bölünmüş komandit şirketleri kapsar.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Dayanak</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 xml:space="preserve">MADDE 3 – </w:t>
      </w:r>
      <w:r w:rsidRPr="00F17ADB">
        <w:rPr>
          <w:rFonts w:asciiTheme="minorHAnsi" w:eastAsia="ヒラギノ明朝 Pro W3" w:hAnsiTheme="minorHAnsi" w:cstheme="minorHAnsi"/>
          <w:sz w:val="22"/>
          <w:szCs w:val="22"/>
          <w:lang w:eastAsia="en-US"/>
        </w:rPr>
        <w:t xml:space="preserve">(1) Bu Tebliğ, </w:t>
      </w:r>
      <w:proofErr w:type="gramStart"/>
      <w:r w:rsidRPr="00F17ADB">
        <w:rPr>
          <w:rFonts w:asciiTheme="minorHAnsi" w:eastAsia="ヒラギノ明朝 Pro W3" w:hAnsiTheme="minorHAnsi" w:cstheme="minorHAnsi"/>
          <w:sz w:val="22"/>
          <w:szCs w:val="22"/>
          <w:lang w:eastAsia="en-US"/>
        </w:rPr>
        <w:t>13/1/2011</w:t>
      </w:r>
      <w:proofErr w:type="gramEnd"/>
      <w:r w:rsidRPr="00F17ADB">
        <w:rPr>
          <w:rFonts w:asciiTheme="minorHAnsi" w:eastAsia="ヒラギノ明朝 Pro W3" w:hAnsiTheme="minorHAnsi" w:cstheme="minorHAnsi"/>
          <w:sz w:val="22"/>
          <w:szCs w:val="22"/>
          <w:lang w:eastAsia="en-US"/>
        </w:rPr>
        <w:t xml:space="preserve"> tarihli ve 6102 sayılı Türk Ticaret Kanununun 509 uncu maddesinin üçüncü fıkrasına, 565 inci maddesinin ikinci fıkrasına ve 644 üncü maddesinin birinci fıkrasının (b) bendine dayanılarak hazırlanmıştır.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Tanımlar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4 –</w:t>
      </w:r>
      <w:r w:rsidRPr="00F17ADB">
        <w:rPr>
          <w:rFonts w:asciiTheme="minorHAnsi" w:eastAsia="ヒラギノ明朝 Pro W3" w:hAnsiTheme="minorHAnsi" w:cstheme="minorHAnsi"/>
          <w:sz w:val="22"/>
          <w:szCs w:val="22"/>
          <w:lang w:eastAsia="en-US"/>
        </w:rPr>
        <w:t xml:space="preserve"> (1) Bu Tebliğde geçen;</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a) Kanun: </w:t>
      </w:r>
      <w:proofErr w:type="gramStart"/>
      <w:r w:rsidRPr="00F17ADB">
        <w:rPr>
          <w:rFonts w:asciiTheme="minorHAnsi" w:eastAsia="ヒラギノ明朝 Pro W3" w:hAnsiTheme="minorHAnsi" w:cstheme="minorHAnsi"/>
          <w:sz w:val="22"/>
          <w:szCs w:val="22"/>
          <w:lang w:eastAsia="en-US"/>
        </w:rPr>
        <w:t>13/1/2011</w:t>
      </w:r>
      <w:proofErr w:type="gramEnd"/>
      <w:r w:rsidRPr="00F17ADB">
        <w:rPr>
          <w:rFonts w:asciiTheme="minorHAnsi" w:eastAsia="ヒラギノ明朝 Pro W3" w:hAnsiTheme="minorHAnsi" w:cstheme="minorHAnsi"/>
          <w:sz w:val="22"/>
          <w:szCs w:val="22"/>
          <w:lang w:eastAsia="en-US"/>
        </w:rPr>
        <w:t xml:space="preserve"> tarihli ve 6102 sayılı Türk Ticaret Kanununu,</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b) Kâr payı: Net dönem kârı veya serbest yedek akçeler üzerinden ortaklara ve kâra katılan diğer kimselere genel kurulca dağıtılmasına karar verilen tutarı,</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c) Kâr payı avansı: Kâr payından mahsup edilmek üzere ara dönem finansal tablolara göre oluşan kârlar üzerinden bu Tebliğ hükümlerine göre hesaplanan tutarı,</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ç) Ortak: Anonim şirketlerin pay sahiplerini, </w:t>
      </w:r>
      <w:proofErr w:type="spellStart"/>
      <w:r w:rsidRPr="00F17ADB">
        <w:rPr>
          <w:rFonts w:asciiTheme="minorHAnsi" w:eastAsia="ヒラギノ明朝 Pro W3" w:hAnsiTheme="minorHAnsi" w:cstheme="minorHAnsi"/>
          <w:sz w:val="22"/>
          <w:szCs w:val="22"/>
          <w:lang w:eastAsia="en-US"/>
        </w:rPr>
        <w:t>limited</w:t>
      </w:r>
      <w:proofErr w:type="spellEnd"/>
      <w:r w:rsidRPr="00F17ADB">
        <w:rPr>
          <w:rFonts w:asciiTheme="minorHAnsi" w:eastAsia="ヒラギノ明朝 Pro W3" w:hAnsiTheme="minorHAnsi" w:cstheme="minorHAnsi"/>
          <w:sz w:val="22"/>
          <w:szCs w:val="22"/>
          <w:lang w:eastAsia="en-US"/>
        </w:rPr>
        <w:t xml:space="preserve"> ve sermayesi paylara bölünmüş komandit şirketlerin ortaklarını,</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d) Serbest yedek akçe: Genel kanuni yedek akçelerin sermayenin veya çıkarılmış sermayenin yarısını aşan kısmı ile Kanun ve sözleşme gereği ayrılanlar dışında genel kurulca ayrılmasına karar verilen yedek akçeleri,</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e) Şirket: 2499 sayılı Kanuna tabi olmayan anonim şirketler ile </w:t>
      </w:r>
      <w:proofErr w:type="spellStart"/>
      <w:r w:rsidRPr="00F17ADB">
        <w:rPr>
          <w:rFonts w:asciiTheme="minorHAnsi" w:eastAsia="ヒラギノ明朝 Pro W3" w:hAnsiTheme="minorHAnsi" w:cstheme="minorHAnsi"/>
          <w:sz w:val="22"/>
          <w:szCs w:val="22"/>
          <w:lang w:eastAsia="en-US"/>
        </w:rPr>
        <w:t>limited</w:t>
      </w:r>
      <w:proofErr w:type="spellEnd"/>
      <w:r w:rsidRPr="00F17ADB">
        <w:rPr>
          <w:rFonts w:asciiTheme="minorHAnsi" w:eastAsia="ヒラギノ明朝 Pro W3" w:hAnsiTheme="minorHAnsi" w:cstheme="minorHAnsi"/>
          <w:sz w:val="22"/>
          <w:szCs w:val="22"/>
          <w:lang w:eastAsia="en-US"/>
        </w:rPr>
        <w:t xml:space="preserve"> ve sermayesi paylara bölünmüş komandit şirketleri,</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f) Sözleşme: Anonim şirketler ile sermayesi paylara bölünmüş komandit şirketlerin esas sözleşmesini, </w:t>
      </w:r>
      <w:proofErr w:type="spellStart"/>
      <w:r w:rsidRPr="00F17ADB">
        <w:rPr>
          <w:rFonts w:asciiTheme="minorHAnsi" w:eastAsia="ヒラギノ明朝 Pro W3" w:hAnsiTheme="minorHAnsi" w:cstheme="minorHAnsi"/>
          <w:sz w:val="22"/>
          <w:szCs w:val="22"/>
          <w:lang w:eastAsia="en-US"/>
        </w:rPr>
        <w:t>limited</w:t>
      </w:r>
      <w:proofErr w:type="spellEnd"/>
      <w:r w:rsidRPr="00F17ADB">
        <w:rPr>
          <w:rFonts w:asciiTheme="minorHAnsi" w:eastAsia="ヒラギノ明朝 Pro W3" w:hAnsiTheme="minorHAnsi" w:cstheme="minorHAnsi"/>
          <w:sz w:val="22"/>
          <w:szCs w:val="22"/>
          <w:lang w:eastAsia="en-US"/>
        </w:rPr>
        <w:t xml:space="preserve"> şirketlerin şirket sözleşmesini,</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g) Yönetim organı: Anonim şirketlerde yönetim kurulunu, </w:t>
      </w:r>
      <w:proofErr w:type="spellStart"/>
      <w:r w:rsidRPr="00F17ADB">
        <w:rPr>
          <w:rFonts w:asciiTheme="minorHAnsi" w:eastAsia="ヒラギノ明朝 Pro W3" w:hAnsiTheme="minorHAnsi" w:cstheme="minorHAnsi"/>
          <w:sz w:val="22"/>
          <w:szCs w:val="22"/>
          <w:lang w:eastAsia="en-US"/>
        </w:rPr>
        <w:t>limited</w:t>
      </w:r>
      <w:proofErr w:type="spellEnd"/>
      <w:r w:rsidRPr="00F17ADB">
        <w:rPr>
          <w:rFonts w:asciiTheme="minorHAnsi" w:eastAsia="ヒラギノ明朝 Pro W3" w:hAnsiTheme="minorHAnsi" w:cstheme="minorHAnsi"/>
          <w:sz w:val="22"/>
          <w:szCs w:val="22"/>
          <w:lang w:eastAsia="en-US"/>
        </w:rPr>
        <w:t xml:space="preserve"> şirketlerde müdür veya müdürler kurulunu, sermayesi paylara bölünmüş komandit şirketlerde yöneticiyi veya yöneticileri,</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proofErr w:type="gramStart"/>
      <w:r w:rsidRPr="00F17ADB">
        <w:rPr>
          <w:rFonts w:asciiTheme="minorHAnsi" w:eastAsia="ヒラギノ明朝 Pro W3" w:hAnsiTheme="minorHAnsi" w:cstheme="minorHAnsi"/>
          <w:sz w:val="22"/>
          <w:szCs w:val="22"/>
          <w:lang w:eastAsia="en-US"/>
        </w:rPr>
        <w:t>ifade</w:t>
      </w:r>
      <w:proofErr w:type="gramEnd"/>
      <w:r w:rsidRPr="00F17ADB">
        <w:rPr>
          <w:rFonts w:asciiTheme="minorHAnsi" w:eastAsia="ヒラギノ明朝 Pro W3" w:hAnsiTheme="minorHAnsi" w:cstheme="minorHAnsi"/>
          <w:sz w:val="22"/>
          <w:szCs w:val="22"/>
          <w:lang w:eastAsia="en-US"/>
        </w:rPr>
        <w:t xml:space="preserve"> eder.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p>
    <w:p w:rsidR="00F17ADB" w:rsidRPr="00F17ADB" w:rsidRDefault="00F17ADB" w:rsidP="00F17ADB">
      <w:pPr>
        <w:spacing w:line="240" w:lineRule="exact"/>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İKİNCİ BÖLÜM</w:t>
      </w:r>
    </w:p>
    <w:p w:rsidR="00F17ADB" w:rsidRPr="00F17ADB" w:rsidRDefault="00F17ADB" w:rsidP="00F17ADB">
      <w:pPr>
        <w:spacing w:line="240" w:lineRule="exact"/>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Kâr Payı Avansı Dağıtım Esasları</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Kâr payı avansı dağıtım şartları</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5 –</w:t>
      </w:r>
      <w:r w:rsidRPr="00F17ADB">
        <w:rPr>
          <w:rFonts w:asciiTheme="minorHAnsi" w:eastAsia="ヒラギノ明朝 Pro W3" w:hAnsiTheme="minorHAnsi" w:cstheme="minorHAnsi"/>
          <w:sz w:val="22"/>
          <w:szCs w:val="22"/>
          <w:lang w:eastAsia="en-US"/>
        </w:rPr>
        <w:t xml:space="preserve"> (1) Şirketlerin kâr payı avansı dağıtabilmeleri için, şirket genel kurulunca kâr payı avansı dağıtılmasına ilişkin karar alınması ve kâr payı avansı dağıtılacak hesap döneminde hazırlanan üç, altı veya dokuz aylık ara dönem finansal tablolara göre kâr edilmiş olması gereklidir.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Şirket genel kurulunca alınacak kararın içeriği</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6 –</w:t>
      </w:r>
      <w:r w:rsidRPr="00F17ADB">
        <w:rPr>
          <w:rFonts w:asciiTheme="minorHAnsi" w:eastAsia="ヒラギノ明朝 Pro W3" w:hAnsiTheme="minorHAnsi" w:cstheme="minorHAnsi"/>
          <w:sz w:val="22"/>
          <w:szCs w:val="22"/>
          <w:lang w:eastAsia="en-US"/>
        </w:rPr>
        <w:t xml:space="preserve"> (1) Şirket genel kurulunca kâr payı avansı dağıtımına karar verildiği durumda bu kararda ayrıca aşağıdaki hususların belirtilmesi zorunludur.</w:t>
      </w:r>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proofErr w:type="gramStart"/>
      <w:r w:rsidRPr="00F17ADB">
        <w:rPr>
          <w:rFonts w:asciiTheme="minorHAnsi" w:eastAsia="ヒラギノ明朝 Pro W3" w:hAnsiTheme="minorHAnsi" w:cstheme="minorHAnsi"/>
          <w:sz w:val="22"/>
          <w:szCs w:val="22"/>
          <w:lang w:eastAsia="en-US"/>
        </w:rPr>
        <w:t>a) İlgili hesap dönemi sonunda, yıl içinde dağıtılan kâr payı avansını karşılayacak tutarda net dönem kârı oluşmaması durumunda, net dönem kârını aşan kâr payı avanslarının varsa bir önceki yıla ait bilançoda yer alan serbest yedek akçelerden mahsup edileceği, serbest yedek akçe tutarının da dağıtılan kâr payı avanslarını karşılayamaması halinde fazla ödenmiş olan kâr payı avanslarının yönetim organının ihtarı üzerine ortaklar tarafından şirkete iade edileceği,</w:t>
      </w:r>
      <w:proofErr w:type="gramEnd"/>
    </w:p>
    <w:p w:rsidR="00F17ADB" w:rsidRPr="00F17ADB" w:rsidRDefault="00F17ADB" w:rsidP="00F17ADB">
      <w:pPr>
        <w:tabs>
          <w:tab w:val="left" w:pos="566"/>
        </w:tabs>
        <w:spacing w:line="240" w:lineRule="exact"/>
        <w:ind w:firstLine="566"/>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b) İlgili hesap dönemi sonunda zarar oluşması durumunda;</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1) Varsa bir önceki yıla ait bilançoda yer alan genel kanuni yedek akçeler ile serbest yedek akçelerin öncelikle oluşan zararın mahsubunda kullanılacağı, bu akçelerin oluşan zararı </w:t>
      </w:r>
      <w:r w:rsidRPr="00F17ADB">
        <w:rPr>
          <w:rFonts w:asciiTheme="minorHAnsi" w:eastAsia="ヒラギノ明朝 Pro W3" w:hAnsiTheme="minorHAnsi" w:cstheme="minorHAnsi"/>
          <w:sz w:val="22"/>
          <w:szCs w:val="22"/>
          <w:lang w:eastAsia="en-US"/>
        </w:rPr>
        <w:lastRenderedPageBreak/>
        <w:t>karşılayamaması halinde dönem içinde dağıtılan kâr payı avanslarının tamamının yönetim organının ihtarı üzerine ortaklar tarafından şirkete iade edileceği,</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proofErr w:type="gramStart"/>
      <w:r w:rsidRPr="00F17ADB">
        <w:rPr>
          <w:rFonts w:asciiTheme="minorHAnsi" w:eastAsia="ヒラギノ明朝 Pro W3" w:hAnsiTheme="minorHAnsi" w:cstheme="minorHAnsi"/>
          <w:sz w:val="22"/>
          <w:szCs w:val="22"/>
          <w:lang w:eastAsia="en-US"/>
        </w:rPr>
        <w:t>2) Genel kanuni yedek akçeler ile serbest yedek akçelerin, oluşan dönem zararından mahsubu sonrasında bakiye serbest yedek akçe tutarının dağıtılan kâr payı avanslarından indirileceği, indirim işlemi sonucunda dönem içinde dağıtılan kâr payı avansı tutarının bakiye serbest yedek akçe tutarını aşması halinde ise aşan kısmının yönetim organının ihtarı üzerine ortaklar tarafından şirkete iade edileceği.</w:t>
      </w:r>
      <w:proofErr w:type="gramEnd"/>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(2) Birinci fıkrada belirtilen hususlar, kâr payı avansı dağıtılacak hesap dönemi içinde yapılacak genel kurul toplantısında karara bağlanır. </w:t>
      </w:r>
      <w:proofErr w:type="gramStart"/>
      <w:r w:rsidRPr="00F17ADB">
        <w:rPr>
          <w:rFonts w:asciiTheme="minorHAnsi" w:eastAsia="ヒラギノ明朝 Pro W3" w:hAnsiTheme="minorHAnsi" w:cstheme="minorHAnsi"/>
          <w:sz w:val="22"/>
          <w:szCs w:val="22"/>
          <w:lang w:eastAsia="en-US"/>
        </w:rPr>
        <w:t xml:space="preserve">Anonim ve sermayesi paylara bölünmüş komandit şirketlerde, genel kurulca bu yönde karar alınabilmesi için sermayenin en az dörtte birini karşılayan payların sahiplerinin veya temsilcilerinin toplantıda hazır olması, bu nisabın toplantı süresince korunması ve toplantıda hazır bulunan oyların çoğunluğunun kâr payı avansı dağıtılması yönünde kullanılmış olması, </w:t>
      </w:r>
      <w:proofErr w:type="spellStart"/>
      <w:r w:rsidRPr="00F17ADB">
        <w:rPr>
          <w:rFonts w:asciiTheme="minorHAnsi" w:eastAsia="ヒラギノ明朝 Pro W3" w:hAnsiTheme="minorHAnsi" w:cstheme="minorHAnsi"/>
          <w:sz w:val="22"/>
          <w:szCs w:val="22"/>
          <w:lang w:eastAsia="en-US"/>
        </w:rPr>
        <w:t>limited</w:t>
      </w:r>
      <w:proofErr w:type="spellEnd"/>
      <w:r w:rsidRPr="00F17ADB">
        <w:rPr>
          <w:rFonts w:asciiTheme="minorHAnsi" w:eastAsia="ヒラギノ明朝 Pro W3" w:hAnsiTheme="minorHAnsi" w:cstheme="minorHAnsi"/>
          <w:sz w:val="22"/>
          <w:szCs w:val="22"/>
          <w:lang w:eastAsia="en-US"/>
        </w:rPr>
        <w:t xml:space="preserve"> şirketlerde ise toplantıda temsil edilen oyların salt çoğunluğunun kâr payı avansı dağıtılması yönünde olması gereklidir.</w:t>
      </w:r>
      <w:proofErr w:type="gramEnd"/>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(3) İlgili hesap dönemi öncesinde ödenen kâr payı avanslarının, ilgili olduğu yılın net dönem kârından mahsup edilmesi şarttır. Bu işlem yapılmadan, şirket genel kurulunca kâr payı dağıtılmasına ve kâr payı avansı ödenmesine karar verilemez.</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Dağıtılacak kâr payı avansı tutarı ve hesaplanması</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7 –</w:t>
      </w:r>
      <w:r w:rsidRPr="00F17ADB">
        <w:rPr>
          <w:rFonts w:asciiTheme="minorHAnsi" w:eastAsia="ヒラギノ明朝 Pro W3" w:hAnsiTheme="minorHAnsi" w:cstheme="minorHAnsi"/>
          <w:sz w:val="22"/>
          <w:szCs w:val="22"/>
          <w:lang w:eastAsia="en-US"/>
        </w:rPr>
        <w:t xml:space="preserve"> (1) Dağıtılacak kâr payı avansı; varsa geçmiş yıllar zararlarının tamamının, vergi, fon ve mali karşılıkların, kanunlara ve sözleşmeye göre ayrılması gereken yedek akçelerin, varsa imtiyazlı pay sahipleri, intifa senedi sahipleri ve kâra katılan diğer kimseler için ayrılacak tutarların, oluşan ara dönem kârından indirilmesi suretiyle hesaplanır. Ödenecek kâr payı avansı, bu şekilde hesaplanan tutarın yarısını geçemez.</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(2) Aynı hesap dönemi içinde izleyen ara dönemlerde de kâr oluşması halinde dağıtılacak kâr payı avansı tutarı birinci fıkrada belirtilenlerin yanı sıra önceki ara dönem veya dönemlerde ödenmiş olan kâr payı avansı tutarları da indirilerek hesaplanır. Ödenecek kâr payı avansı, bu şekilde hesaplanan tutarın yarısını geçemez.</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Kâr payı avansı ödemeleri</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8 –</w:t>
      </w:r>
      <w:r w:rsidRPr="00F17ADB">
        <w:rPr>
          <w:rFonts w:asciiTheme="minorHAnsi" w:eastAsia="ヒラギノ明朝 Pro W3" w:hAnsiTheme="minorHAnsi" w:cstheme="minorHAnsi"/>
          <w:sz w:val="22"/>
          <w:szCs w:val="22"/>
          <w:lang w:eastAsia="en-US"/>
        </w:rPr>
        <w:t xml:space="preserve"> (1) Kâr payı avansı, dağıtım tarihleri itibarıyla ortaklara payları oranında ödenir.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(2) Kâr payı avansı, kârdan imtiyazlı paylara imtiyaz dikkate alınmadan ödenir. İntifa senedi sahiplerine, ortak olmayan yönetim organı üyelerine ve ortaklar dışında kâra katılan diğer kimselere kâr payı avansı ödenemez.</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(3) Ortakların sermaye taahhüt borçları dışında şirkete borçlu olmaları halinde söz konusu borç ortağa ödenecek kâr payı avansından mahsup edilir.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(4) Bir hesap döneminde kâr payı avansı dağıtan ve ardından sermaye artırımı gerçekleştiren şirket, aynı hesap döneminde tekrar kâr payı avansı dağıtmak istediğinde aşağıda belirtilen esaslara uyar.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a) Sermaye artırımı sonrasında yapılacak kâr payı avansı ödemesinde, yeni ortaklara öncelik verilir.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b) Söz konusu öncelik, eski ve yeni ortakların dönem içerisinde her pay için aldıkları toplam kâr payı avans tutarları eşitleninceye kadar devam eder.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c) Eski ve yeni ortakların hesap dönemi içerisinde her pay için aldıkları toplam kâr payı avans tutarları eşitlendikten sonra, kalan kâr payı avansı tutarı veya bir sonraki ara hesap döneminde ödenecek kâr payı avansı tutarı mevcut ortaklara payları nispetinde ödenir.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Kâr payı avansı işlemlerinde yönetim organının görevleri</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9 –</w:t>
      </w:r>
      <w:r w:rsidRPr="00F17ADB">
        <w:rPr>
          <w:rFonts w:asciiTheme="minorHAnsi" w:eastAsia="ヒラギノ明朝 Pro W3" w:hAnsiTheme="minorHAnsi" w:cstheme="minorHAnsi"/>
          <w:sz w:val="22"/>
          <w:szCs w:val="22"/>
          <w:lang w:eastAsia="en-US"/>
        </w:rPr>
        <w:t xml:space="preserve"> (1) Genel kurul tarafından kâr payı avansı dağıtılmasına karar verilmesi ve ara dönem finansal tablolara göre de kâr edilmiş olması halinde şirket yönetim organınca sırasıyla aşağıdaki görevler yerine getirilir.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a) Kâr payı avansı dağıtımına ilişkin rapor hazırlanır ve bu raporda;</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1) Kâr payı avansı dağıtımına dayanak oluşturan ara dönem finansal tabloların Kanunun 515 inci maddesinde belirtilen dürüst resim ilkesine uygun olarak hazırlandığı,</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2) Dağıtılacak kâr payı avansı tutarının 7 </w:t>
      </w:r>
      <w:proofErr w:type="spellStart"/>
      <w:r w:rsidRPr="00F17ADB">
        <w:rPr>
          <w:rFonts w:asciiTheme="minorHAnsi" w:eastAsia="ヒラギノ明朝 Pro W3" w:hAnsiTheme="minorHAnsi" w:cstheme="minorHAnsi"/>
          <w:sz w:val="22"/>
          <w:szCs w:val="22"/>
          <w:lang w:eastAsia="en-US"/>
        </w:rPr>
        <w:t>nci</w:t>
      </w:r>
      <w:proofErr w:type="spellEnd"/>
      <w:r w:rsidRPr="00F17ADB">
        <w:rPr>
          <w:rFonts w:asciiTheme="minorHAnsi" w:eastAsia="ヒラギノ明朝 Pro W3" w:hAnsiTheme="minorHAnsi" w:cstheme="minorHAnsi"/>
          <w:sz w:val="22"/>
          <w:szCs w:val="22"/>
          <w:lang w:eastAsia="en-US"/>
        </w:rPr>
        <w:t xml:space="preserve"> maddeye uygun olarak hesaplandığı, belirtilir. Yapılan hesaplamalara ve diğer şartların yerine getirilmiş olduğuna dayanak teşkil eden belgeler bu rapora ek yapılır.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b) Raporda tespit edilen kâr payı avansının ortaklara ödenmesine ve bu ödemelerin yapılma usulüne ilişkin karar alınır.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c) Kâr payı avansı tutarları 8 inci maddeye uygun olarak kararı izleyen en geç 6 hafta içerisinde ödenir.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lastRenderedPageBreak/>
        <w:t>(2) Hamiline yazılı pay senedi sahiplerine kâr payı avansı ödenirken gerekli güvence yönetim organı tarafından alınır.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sz w:val="22"/>
          <w:szCs w:val="22"/>
          <w:lang w:eastAsia="en-US"/>
        </w:rPr>
        <w:t xml:space="preserve">(3) 6 </w:t>
      </w:r>
      <w:proofErr w:type="spellStart"/>
      <w:r w:rsidRPr="00F17ADB">
        <w:rPr>
          <w:rFonts w:asciiTheme="minorHAnsi" w:eastAsia="ヒラギノ明朝 Pro W3" w:hAnsiTheme="minorHAnsi" w:cstheme="minorHAnsi"/>
          <w:sz w:val="22"/>
          <w:szCs w:val="22"/>
          <w:lang w:eastAsia="en-US"/>
        </w:rPr>
        <w:t>ncı</w:t>
      </w:r>
      <w:proofErr w:type="spellEnd"/>
      <w:r w:rsidRPr="00F17ADB">
        <w:rPr>
          <w:rFonts w:asciiTheme="minorHAnsi" w:eastAsia="ヒラギノ明朝 Pro W3" w:hAnsiTheme="minorHAnsi" w:cstheme="minorHAnsi"/>
          <w:sz w:val="22"/>
          <w:szCs w:val="22"/>
          <w:lang w:eastAsia="en-US"/>
        </w:rPr>
        <w:t xml:space="preserve"> maddenin birinci fıkrasında belirtilen durumların ortaya çıkması halinde fazladan ödenen kâr payı avanslarının ortaklardan tahsil edilerek şirkete iadesine ilişkin işlemler yönetim organınca yerine getirilir.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p>
    <w:p w:rsidR="00F17ADB" w:rsidRPr="00F17ADB" w:rsidRDefault="00F17ADB" w:rsidP="00F17ADB">
      <w:pPr>
        <w:spacing w:line="240" w:lineRule="exact"/>
        <w:jc w:val="center"/>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ÜÇÜNCÜ BÖLÜM</w:t>
      </w:r>
    </w:p>
    <w:p w:rsidR="00F17ADB" w:rsidRPr="00F17ADB" w:rsidRDefault="00F17ADB" w:rsidP="00F17ADB">
      <w:pPr>
        <w:spacing w:line="240" w:lineRule="exact"/>
        <w:jc w:val="center"/>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Çeşitli ve Son Hükümler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Kâr payı avansı hesaplama tablosu</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 xml:space="preserve">MADDE 10 – </w:t>
      </w:r>
      <w:r w:rsidRPr="00F17ADB">
        <w:rPr>
          <w:rFonts w:asciiTheme="minorHAnsi" w:eastAsia="ヒラギノ明朝 Pro W3" w:hAnsiTheme="minorHAnsi" w:cstheme="minorHAnsi"/>
          <w:sz w:val="22"/>
          <w:szCs w:val="22"/>
          <w:lang w:eastAsia="en-US"/>
        </w:rPr>
        <w:t>(1) Dağıtılacak kâr payı avansı tutarının hesaplanmasına ilişkin tablo ek-1’de yer almaktadır.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Geçiş hükümleri</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GEÇİCİ MADDE 1 –</w:t>
      </w:r>
      <w:r w:rsidRPr="00F17ADB">
        <w:rPr>
          <w:rFonts w:asciiTheme="minorHAnsi" w:eastAsia="ヒラギノ明朝 Pro W3" w:hAnsiTheme="minorHAnsi" w:cstheme="minorHAnsi"/>
          <w:sz w:val="22"/>
          <w:szCs w:val="22"/>
          <w:lang w:eastAsia="en-US"/>
        </w:rPr>
        <w:t xml:space="preserve"> (1) 2012 yılına ilişkin hesap döneminde kâr payı avansı dağıtacak şirketler, avans tutarının hesaplanmasında </w:t>
      </w:r>
      <w:proofErr w:type="gramStart"/>
      <w:r w:rsidRPr="00F17ADB">
        <w:rPr>
          <w:rFonts w:asciiTheme="minorHAnsi" w:eastAsia="ヒラギノ明朝 Pro W3" w:hAnsiTheme="minorHAnsi" w:cstheme="minorHAnsi"/>
          <w:sz w:val="22"/>
          <w:szCs w:val="22"/>
          <w:lang w:eastAsia="en-US"/>
        </w:rPr>
        <w:t>29/6/1956</w:t>
      </w:r>
      <w:proofErr w:type="gramEnd"/>
      <w:r w:rsidRPr="00F17ADB">
        <w:rPr>
          <w:rFonts w:asciiTheme="minorHAnsi" w:eastAsia="ヒラギノ明朝 Pro W3" w:hAnsiTheme="minorHAnsi" w:cstheme="minorHAnsi"/>
          <w:sz w:val="22"/>
          <w:szCs w:val="22"/>
          <w:lang w:eastAsia="en-US"/>
        </w:rPr>
        <w:t xml:space="preserve"> tarihli ve 6762 sayılı Türk Ticaret Kanununa göre düzenlenen bilançoları esas alır. 9 uncu madde uyarınca düzenlenecek raporda, kâr payı avansı dağıtımına dayanak oluşturan ara dönem bilançosunun gerçeğe uygun olarak düzenlendiği belirtilir.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Yürürlük</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11 –</w:t>
      </w:r>
      <w:r w:rsidRPr="00F17ADB">
        <w:rPr>
          <w:rFonts w:asciiTheme="minorHAnsi" w:eastAsia="ヒラギノ明朝 Pro W3" w:hAnsiTheme="minorHAnsi" w:cstheme="minorHAnsi"/>
          <w:sz w:val="22"/>
          <w:szCs w:val="22"/>
          <w:lang w:eastAsia="en-US"/>
        </w:rPr>
        <w:t xml:space="preserve"> (1) Bu Tebliğ yayımı tarihinde yürürlüğe girer.</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b/>
          <w:sz w:val="22"/>
          <w:szCs w:val="22"/>
          <w:lang w:eastAsia="en-US"/>
        </w:rPr>
      </w:pPr>
      <w:r w:rsidRPr="00F17ADB">
        <w:rPr>
          <w:rFonts w:asciiTheme="minorHAnsi" w:eastAsia="ヒラギノ明朝 Pro W3" w:hAnsiTheme="minorHAnsi" w:cstheme="minorHAnsi"/>
          <w:b/>
          <w:sz w:val="22"/>
          <w:szCs w:val="22"/>
          <w:lang w:eastAsia="en-US"/>
        </w:rPr>
        <w:t>Yürütme</w:t>
      </w:r>
    </w:p>
    <w:p w:rsidR="00F17ADB" w:rsidRPr="00F17ADB" w:rsidRDefault="00F17ADB" w:rsidP="00F17ADB">
      <w:pPr>
        <w:tabs>
          <w:tab w:val="left" w:pos="566"/>
        </w:tabs>
        <w:spacing w:line="240" w:lineRule="exact"/>
        <w:ind w:firstLine="566"/>
        <w:jc w:val="both"/>
        <w:rPr>
          <w:rFonts w:asciiTheme="minorHAnsi" w:eastAsia="ヒラギノ明朝 Pro W3" w:hAnsiTheme="minorHAnsi" w:cstheme="minorHAnsi"/>
          <w:sz w:val="22"/>
          <w:szCs w:val="22"/>
          <w:lang w:eastAsia="en-US"/>
        </w:rPr>
      </w:pPr>
      <w:r w:rsidRPr="00F17ADB">
        <w:rPr>
          <w:rFonts w:asciiTheme="minorHAnsi" w:eastAsia="ヒラギノ明朝 Pro W3" w:hAnsiTheme="minorHAnsi" w:cstheme="minorHAnsi"/>
          <w:b/>
          <w:sz w:val="22"/>
          <w:szCs w:val="22"/>
          <w:lang w:eastAsia="en-US"/>
        </w:rPr>
        <w:t>MADDE 12 –</w:t>
      </w:r>
      <w:r w:rsidRPr="00F17ADB">
        <w:rPr>
          <w:rFonts w:asciiTheme="minorHAnsi" w:eastAsia="ヒラギノ明朝 Pro W3" w:hAnsiTheme="minorHAnsi" w:cstheme="minorHAnsi"/>
          <w:sz w:val="22"/>
          <w:szCs w:val="22"/>
          <w:lang w:eastAsia="en-US"/>
        </w:rPr>
        <w:t xml:space="preserve"> (1) Bu Tebliğ hükümlerini Gümrük ve Ticaret Bakanı yürütür.</w:t>
      </w:r>
    </w:p>
    <w:p w:rsidR="00F17ADB" w:rsidRPr="00F17ADB" w:rsidRDefault="00342A65" w:rsidP="00F17ADB">
      <w:pPr>
        <w:tabs>
          <w:tab w:val="left" w:pos="566"/>
        </w:tabs>
        <w:spacing w:line="240" w:lineRule="exact"/>
        <w:rPr>
          <w:rFonts w:asciiTheme="minorHAnsi" w:eastAsia="ヒラギノ明朝 Pro W3" w:hAnsiTheme="minorHAnsi" w:cstheme="minorHAnsi"/>
          <w:b/>
          <w:bCs/>
          <w:sz w:val="22"/>
          <w:szCs w:val="22"/>
          <w:lang w:eastAsia="en-US"/>
        </w:rPr>
      </w:pPr>
      <w:hyperlink r:id="rId8" w:history="1"/>
    </w:p>
    <w:p w:rsidR="00F17ADB" w:rsidRPr="00F17ADB" w:rsidRDefault="00F17ADB" w:rsidP="00F17ADB">
      <w:pPr>
        <w:spacing w:after="200"/>
        <w:jc w:val="center"/>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Ek-1</w:t>
      </w:r>
    </w:p>
    <w:p w:rsidR="00F17ADB" w:rsidRPr="00F17ADB" w:rsidRDefault="00F17ADB" w:rsidP="00F17ADB">
      <w:pPr>
        <w:spacing w:after="200"/>
        <w:jc w:val="center"/>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KÂR PAYI AVANSI TUTARININ HESAPLANMASINA İLİŞKİN TABLO</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F17ADB" w:rsidRPr="00F17ADB" w:rsidTr="00FF31A6">
        <w:trPr>
          <w:trHeight w:val="297"/>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ARA DÖNEM KÂRI</w:t>
            </w:r>
          </w:p>
        </w:tc>
      </w:tr>
      <w:tr w:rsidR="00F17ADB" w:rsidRPr="00F17ADB" w:rsidTr="00FF31A6">
        <w:trPr>
          <w:trHeight w:val="290"/>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Varsa Geçmiş Yıl Zararları (-)</w:t>
            </w:r>
          </w:p>
        </w:tc>
      </w:tr>
      <w:tr w:rsidR="00F17ADB" w:rsidRPr="00F17ADB" w:rsidTr="00FF31A6">
        <w:trPr>
          <w:trHeight w:val="254"/>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Kurumlar Vergisi (-)</w:t>
            </w:r>
          </w:p>
        </w:tc>
      </w:tr>
      <w:tr w:rsidR="00F17ADB" w:rsidRPr="00F17ADB" w:rsidTr="00FF31A6">
        <w:trPr>
          <w:trHeight w:val="475"/>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Gelir Vergisi Kesintileri (-)</w:t>
            </w:r>
          </w:p>
        </w:tc>
      </w:tr>
      <w:tr w:rsidR="00F17ADB" w:rsidRPr="00F17ADB" w:rsidTr="00FF31A6">
        <w:trPr>
          <w:trHeight w:val="196"/>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Diğer Vergi ve Benzerleri (-)</w:t>
            </w:r>
          </w:p>
        </w:tc>
      </w:tr>
      <w:tr w:rsidR="00F17ADB" w:rsidRPr="00F17ADB" w:rsidTr="00FF31A6">
        <w:trPr>
          <w:trHeight w:val="174"/>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1. Tertip Kanuni Yedek Akçeler</w:t>
            </w:r>
            <w:r w:rsidRPr="00F17ADB">
              <w:rPr>
                <w:rFonts w:asciiTheme="minorHAnsi" w:eastAsia="Calibri" w:hAnsiTheme="minorHAnsi" w:cstheme="minorHAnsi"/>
                <w:b/>
                <w:bCs/>
                <w:sz w:val="22"/>
                <w:szCs w:val="22"/>
                <w:vertAlign w:val="superscript"/>
                <w:lang w:eastAsia="en-US"/>
              </w:rPr>
              <w:footnoteReference w:id="1"/>
            </w:r>
            <w:r w:rsidRPr="00F17ADB">
              <w:rPr>
                <w:rFonts w:asciiTheme="minorHAnsi" w:eastAsia="Calibri" w:hAnsiTheme="minorHAnsi" w:cstheme="minorHAnsi"/>
                <w:b/>
                <w:bCs/>
                <w:sz w:val="22"/>
                <w:szCs w:val="22"/>
                <w:lang w:eastAsia="en-US"/>
              </w:rPr>
              <w:t xml:space="preserve"> (-)</w:t>
            </w:r>
          </w:p>
        </w:tc>
      </w:tr>
      <w:tr w:rsidR="00F17ADB" w:rsidRPr="00F17ADB" w:rsidTr="00FF31A6">
        <w:trPr>
          <w:trHeight w:val="166"/>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İsteğe Bağlı Yedek Akçeler</w:t>
            </w:r>
            <w:r w:rsidRPr="00F17ADB">
              <w:rPr>
                <w:rFonts w:asciiTheme="minorHAnsi" w:eastAsia="Calibri" w:hAnsiTheme="minorHAnsi" w:cstheme="minorHAnsi"/>
                <w:b/>
                <w:bCs/>
                <w:sz w:val="22"/>
                <w:szCs w:val="22"/>
                <w:vertAlign w:val="superscript"/>
                <w:lang w:eastAsia="en-US"/>
              </w:rPr>
              <w:footnoteReference w:id="2"/>
            </w:r>
            <w:r w:rsidRPr="00F17ADB">
              <w:rPr>
                <w:rFonts w:asciiTheme="minorHAnsi" w:eastAsia="Calibri" w:hAnsiTheme="minorHAnsi" w:cstheme="minorHAnsi"/>
                <w:b/>
                <w:bCs/>
                <w:sz w:val="22"/>
                <w:szCs w:val="22"/>
                <w:lang w:eastAsia="en-US"/>
              </w:rPr>
              <w:t xml:space="preserve"> (-)</w:t>
            </w:r>
          </w:p>
        </w:tc>
      </w:tr>
      <w:tr w:rsidR="00F17ADB" w:rsidRPr="00F17ADB" w:rsidTr="00FF31A6">
        <w:trPr>
          <w:trHeight w:val="144"/>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İmtiyazlı Pay Sahipleri İçin Ayrılan Tutar* (-)</w:t>
            </w:r>
          </w:p>
        </w:tc>
      </w:tr>
      <w:tr w:rsidR="00F17ADB" w:rsidRPr="00F17ADB" w:rsidTr="00FF31A6">
        <w:trPr>
          <w:trHeight w:val="475"/>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İntifa Senedi Sahipleri İçin Ayrılan Tutar* (-)</w:t>
            </w:r>
          </w:p>
        </w:tc>
      </w:tr>
      <w:tr w:rsidR="00F17ADB" w:rsidRPr="00F17ADB" w:rsidTr="00FF31A6">
        <w:trPr>
          <w:trHeight w:val="214"/>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Kâra Katılan Diğer Kimseler İçin Ayrılan Tutar* (-)</w:t>
            </w:r>
          </w:p>
        </w:tc>
      </w:tr>
      <w:tr w:rsidR="00F17ADB" w:rsidRPr="00F17ADB" w:rsidTr="00FF31A6">
        <w:trPr>
          <w:trHeight w:val="206"/>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t>Varsa Daha Önceki Ara Dönemlerde Ödenen Kâr Payı Avansı Tutarı (-)</w:t>
            </w:r>
          </w:p>
        </w:tc>
      </w:tr>
      <w:tr w:rsidR="00F17ADB" w:rsidRPr="00F17ADB" w:rsidTr="00FF31A6">
        <w:trPr>
          <w:trHeight w:val="184"/>
        </w:trPr>
        <w:tc>
          <w:tcPr>
            <w:tcW w:w="8630" w:type="dxa"/>
          </w:tcPr>
          <w:p w:rsidR="00F17ADB" w:rsidRPr="00F17ADB" w:rsidRDefault="00F17ADB" w:rsidP="00F17ADB">
            <w:pPr>
              <w:spacing w:after="200"/>
              <w:rPr>
                <w:rFonts w:asciiTheme="minorHAnsi" w:eastAsia="Calibri" w:hAnsiTheme="minorHAnsi" w:cstheme="minorHAnsi"/>
                <w:b/>
                <w:bCs/>
                <w:sz w:val="22"/>
                <w:szCs w:val="22"/>
                <w:lang w:eastAsia="en-US"/>
              </w:rPr>
            </w:pPr>
            <w:r w:rsidRPr="00F17ADB">
              <w:rPr>
                <w:rFonts w:asciiTheme="minorHAnsi" w:eastAsia="Calibri" w:hAnsiTheme="minorHAnsi" w:cstheme="minorHAnsi"/>
                <w:b/>
                <w:bCs/>
                <w:sz w:val="22"/>
                <w:szCs w:val="22"/>
                <w:lang w:eastAsia="en-US"/>
              </w:rPr>
              <w:lastRenderedPageBreak/>
              <w:t>KÂR PAYI AVANSINA ESAS TEŞKİL EDEN TUTAR</w:t>
            </w:r>
          </w:p>
        </w:tc>
      </w:tr>
      <w:tr w:rsidR="00F17ADB" w:rsidRPr="00F17ADB" w:rsidTr="00FF31A6">
        <w:trPr>
          <w:trHeight w:val="162"/>
        </w:trPr>
        <w:tc>
          <w:tcPr>
            <w:tcW w:w="8630" w:type="dxa"/>
          </w:tcPr>
          <w:p w:rsidR="00F17ADB" w:rsidRPr="00F17ADB" w:rsidRDefault="00F17ADB" w:rsidP="00F17ADB">
            <w:pPr>
              <w:spacing w:after="200"/>
              <w:rPr>
                <w:rFonts w:eastAsia="Calibri"/>
                <w:b/>
                <w:bCs/>
                <w:sz w:val="22"/>
                <w:szCs w:val="22"/>
                <w:lang w:eastAsia="en-US"/>
              </w:rPr>
            </w:pPr>
            <w:r w:rsidRPr="00F17ADB">
              <w:rPr>
                <w:rFonts w:eastAsia="Calibri"/>
                <w:b/>
                <w:bCs/>
                <w:sz w:val="22"/>
                <w:szCs w:val="22"/>
                <w:lang w:eastAsia="en-US"/>
              </w:rPr>
              <w:t>Kâr Payı Avansına Esas Teşkil Eden Tutarın Yarısı (-)</w:t>
            </w:r>
          </w:p>
        </w:tc>
      </w:tr>
      <w:tr w:rsidR="00F17ADB" w:rsidRPr="00F17ADB" w:rsidTr="00FF31A6">
        <w:trPr>
          <w:trHeight w:val="155"/>
        </w:trPr>
        <w:tc>
          <w:tcPr>
            <w:tcW w:w="8630" w:type="dxa"/>
          </w:tcPr>
          <w:p w:rsidR="00F17ADB" w:rsidRPr="00F17ADB" w:rsidRDefault="00F17ADB" w:rsidP="00F17ADB">
            <w:pPr>
              <w:spacing w:after="200"/>
              <w:rPr>
                <w:rFonts w:eastAsia="Calibri"/>
                <w:b/>
                <w:bCs/>
                <w:sz w:val="22"/>
                <w:szCs w:val="22"/>
                <w:lang w:eastAsia="en-US"/>
              </w:rPr>
            </w:pPr>
            <w:r w:rsidRPr="00F17ADB">
              <w:rPr>
                <w:rFonts w:eastAsia="Calibri"/>
                <w:b/>
                <w:bCs/>
                <w:sz w:val="22"/>
                <w:szCs w:val="22"/>
                <w:lang w:eastAsia="en-US"/>
              </w:rPr>
              <w:t>DAĞITILABİLECEK KÂR PAYI AVANSI TUTARI</w:t>
            </w:r>
          </w:p>
        </w:tc>
      </w:tr>
      <w:tr w:rsidR="00F17ADB" w:rsidRPr="00F17ADB" w:rsidTr="00FF31A6">
        <w:trPr>
          <w:trHeight w:val="132"/>
        </w:trPr>
        <w:tc>
          <w:tcPr>
            <w:tcW w:w="8630" w:type="dxa"/>
          </w:tcPr>
          <w:p w:rsidR="00F17ADB" w:rsidRPr="00F17ADB" w:rsidRDefault="00F17ADB" w:rsidP="00F17ADB">
            <w:pPr>
              <w:spacing w:after="200"/>
              <w:rPr>
                <w:rFonts w:eastAsia="Calibri"/>
                <w:b/>
                <w:bCs/>
                <w:sz w:val="22"/>
                <w:szCs w:val="22"/>
                <w:lang w:eastAsia="en-US"/>
              </w:rPr>
            </w:pPr>
            <w:r w:rsidRPr="00F17ADB">
              <w:rPr>
                <w:rFonts w:eastAsia="Calibri"/>
                <w:b/>
                <w:bCs/>
                <w:sz w:val="22"/>
                <w:szCs w:val="22"/>
                <w:lang w:eastAsia="en-US"/>
              </w:rPr>
              <w:t>2. Tertip Kanuni Yedek Akçeler</w:t>
            </w:r>
            <w:r w:rsidRPr="00F17ADB">
              <w:rPr>
                <w:rFonts w:eastAsia="Calibri"/>
                <w:sz w:val="22"/>
                <w:szCs w:val="22"/>
                <w:lang w:eastAsia="en-US"/>
              </w:rPr>
              <w:footnoteReference w:id="3"/>
            </w:r>
            <w:r w:rsidRPr="00F17ADB">
              <w:rPr>
                <w:rFonts w:eastAsia="Calibri"/>
                <w:b/>
                <w:bCs/>
                <w:sz w:val="22"/>
                <w:szCs w:val="22"/>
                <w:lang w:eastAsia="en-US"/>
              </w:rPr>
              <w:t>(-)</w:t>
            </w:r>
          </w:p>
        </w:tc>
      </w:tr>
      <w:tr w:rsidR="00F17ADB" w:rsidRPr="00F17ADB" w:rsidTr="00FF31A6">
        <w:trPr>
          <w:trHeight w:val="238"/>
        </w:trPr>
        <w:tc>
          <w:tcPr>
            <w:tcW w:w="8630" w:type="dxa"/>
          </w:tcPr>
          <w:p w:rsidR="00F17ADB" w:rsidRPr="00F17ADB" w:rsidRDefault="00F17ADB" w:rsidP="00F17ADB">
            <w:pPr>
              <w:spacing w:after="200"/>
              <w:rPr>
                <w:rFonts w:eastAsia="Calibri"/>
                <w:b/>
                <w:bCs/>
                <w:sz w:val="22"/>
                <w:szCs w:val="22"/>
                <w:lang w:eastAsia="en-US"/>
              </w:rPr>
            </w:pPr>
            <w:r w:rsidRPr="00F17ADB">
              <w:rPr>
                <w:rFonts w:eastAsia="Calibri"/>
                <w:b/>
                <w:bCs/>
                <w:sz w:val="22"/>
                <w:szCs w:val="22"/>
                <w:lang w:eastAsia="en-US"/>
              </w:rPr>
              <w:t>ÖDENECEK KÂR PAYI AVANSI TUTARI</w:t>
            </w:r>
          </w:p>
        </w:tc>
      </w:tr>
    </w:tbl>
    <w:p w:rsidR="00F17ADB" w:rsidRPr="00F17ADB" w:rsidRDefault="00F17ADB" w:rsidP="00F17ADB">
      <w:pPr>
        <w:spacing w:after="200"/>
        <w:rPr>
          <w:rFonts w:ascii="Calibri" w:eastAsia="Calibri" w:hAnsi="Calibri" w:cs="Calibri"/>
          <w:sz w:val="20"/>
          <w:szCs w:val="20"/>
          <w:lang w:eastAsia="en-US"/>
        </w:rPr>
      </w:pPr>
    </w:p>
    <w:p w:rsidR="00746DFC" w:rsidRPr="00746DFC" w:rsidRDefault="00746DFC" w:rsidP="00F17ADB">
      <w:pPr>
        <w:tabs>
          <w:tab w:val="left" w:pos="566"/>
        </w:tabs>
        <w:spacing w:line="240" w:lineRule="exact"/>
        <w:ind w:firstLine="566"/>
        <w:rPr>
          <w:b/>
          <w:sz w:val="18"/>
          <w:szCs w:val="18"/>
        </w:rPr>
      </w:pP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65" w:rsidRDefault="00342A65" w:rsidP="00F17ADB">
      <w:r>
        <w:separator/>
      </w:r>
    </w:p>
  </w:endnote>
  <w:endnote w:type="continuationSeparator" w:id="0">
    <w:p w:rsidR="00342A65" w:rsidRDefault="00342A65"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65" w:rsidRDefault="00342A65" w:rsidP="00F17ADB">
      <w:r>
        <w:separator/>
      </w:r>
    </w:p>
  </w:footnote>
  <w:footnote w:type="continuationSeparator" w:id="0">
    <w:p w:rsidR="00342A65" w:rsidRDefault="00342A65" w:rsidP="00F17ADB">
      <w:r>
        <w:continuationSeparator/>
      </w:r>
    </w:p>
  </w:footnote>
  <w:footnote w:id="1">
    <w:p w:rsidR="00F17ADB" w:rsidRPr="00EB2463" w:rsidRDefault="00F17ADB" w:rsidP="00F17ADB">
      <w:pPr>
        <w:pStyle w:val="DipnotMetni"/>
        <w:ind w:firstLine="426"/>
        <w:jc w:val="both"/>
      </w:pPr>
      <w:r w:rsidRPr="00EB2463">
        <w:t>(-) İndirimleri ifade eder.</w:t>
      </w:r>
    </w:p>
    <w:p w:rsidR="00F17ADB" w:rsidRPr="00EB2463" w:rsidRDefault="00F17ADB" w:rsidP="00F17ADB">
      <w:pPr>
        <w:pStyle w:val="DipnotMetni"/>
        <w:ind w:firstLine="426"/>
        <w:jc w:val="both"/>
      </w:pPr>
      <w:r w:rsidRPr="00EB2463">
        <w:rPr>
          <w:rStyle w:val="DipnotBavurusu"/>
        </w:rPr>
        <w:footnoteRef/>
      </w:r>
      <w:r w:rsidRPr="00EB2463">
        <w:t xml:space="preserve">Ara dönem finansal kârın %5’i, ödenmiş sermayenin %20’sine ulaşıncaya kadar genel kanuni yedek akçe olarak ayrılır. Bu sınıra ulaşıldıktan sonra da; </w:t>
      </w:r>
    </w:p>
    <w:p w:rsidR="00F17ADB" w:rsidRPr="00EB2463" w:rsidRDefault="00F17ADB" w:rsidP="00F17ADB">
      <w:pPr>
        <w:pStyle w:val="DipnotMetni"/>
        <w:ind w:firstLine="426"/>
        <w:jc w:val="both"/>
      </w:pPr>
      <w:r w:rsidRPr="00EB2463">
        <w:t>a) Yeni paylar çıkarılmışsa sağlanan primin, çıkarılma giderleri, itfa karşılıkları ve hayır amaçlı ödemeler için kullanılmamış bulunan kısmı,</w:t>
      </w:r>
    </w:p>
    <w:p w:rsidR="00F17ADB" w:rsidRPr="00EB2463" w:rsidRDefault="00F17ADB" w:rsidP="00F17ADB">
      <w:pPr>
        <w:pStyle w:val="DipnotMetni"/>
        <w:ind w:firstLine="426"/>
        <w:jc w:val="both"/>
      </w:pPr>
      <w:r w:rsidRPr="00EB2463">
        <w:t xml:space="preserve">b) Varsa ıskat sebebiyle iptal edilen pay senetlerinin bedeli için ödenmiş olan tutardan, bunların yerlerine verilecek yeni senetlerin çıkarılma giderlerinin düşürülmesinden sonra kalan kısmı, </w:t>
      </w:r>
    </w:p>
    <w:p w:rsidR="00F17ADB" w:rsidRPr="00EB2463" w:rsidRDefault="00F17ADB" w:rsidP="00F17ADB">
      <w:pPr>
        <w:pStyle w:val="DipnotMetni"/>
        <w:ind w:firstLine="426"/>
        <w:jc w:val="both"/>
      </w:pPr>
      <w:proofErr w:type="gramStart"/>
      <w:r w:rsidRPr="00EB2463">
        <w:t>genel</w:t>
      </w:r>
      <w:proofErr w:type="gramEnd"/>
      <w:r w:rsidRPr="00EB2463">
        <w:t xml:space="preserve"> kanuni yedek akçe olarak ayrılır. </w:t>
      </w:r>
    </w:p>
  </w:footnote>
  <w:footnote w:id="2">
    <w:p w:rsidR="00F17ADB" w:rsidRPr="00EB2463" w:rsidRDefault="00F17ADB" w:rsidP="00F17ADB">
      <w:pPr>
        <w:pStyle w:val="DipnotMetni"/>
        <w:ind w:firstLine="426"/>
        <w:jc w:val="both"/>
      </w:pPr>
      <w:r w:rsidRPr="00EB2463">
        <w:rPr>
          <w:rStyle w:val="DipnotBavurusu"/>
        </w:rPr>
        <w:footnoteRef/>
      </w:r>
      <w:r w:rsidRPr="00EB2463">
        <w:t xml:space="preserve"> Kanunun 521 inci ve 522 </w:t>
      </w:r>
      <w:proofErr w:type="spellStart"/>
      <w:r w:rsidRPr="00EB2463">
        <w:t>nci</w:t>
      </w:r>
      <w:proofErr w:type="spellEnd"/>
      <w:r w:rsidRPr="00EB2463">
        <w:t xml:space="preserve"> maddelerine istinaden ayrılması gereken tutar belirtilir.</w:t>
      </w:r>
    </w:p>
    <w:p w:rsidR="00F17ADB" w:rsidRDefault="00F17ADB" w:rsidP="00F17ADB">
      <w:pPr>
        <w:pStyle w:val="DipnotMetni"/>
        <w:ind w:firstLine="426"/>
        <w:jc w:val="both"/>
      </w:pPr>
      <w:r w:rsidRPr="00EB2463">
        <w:t>* Sözleşmede hüküm bulunması durumunda yer verilir.</w:t>
      </w:r>
    </w:p>
  </w:footnote>
  <w:footnote w:id="3">
    <w:p w:rsidR="00F17ADB" w:rsidRDefault="00F17ADB" w:rsidP="00F17ADB">
      <w:pPr>
        <w:pStyle w:val="DipnotMetni"/>
        <w:ind w:firstLine="426"/>
        <w:jc w:val="both"/>
      </w:pPr>
      <w:r w:rsidRPr="00C36C41">
        <w:rPr>
          <w:rStyle w:val="DipnotBavurusu"/>
          <w:sz w:val="22"/>
          <w:szCs w:val="22"/>
        </w:rPr>
        <w:footnoteRef/>
      </w:r>
      <w:r w:rsidRPr="00C36C41">
        <w:rPr>
          <w:sz w:val="22"/>
          <w:szCs w:val="22"/>
        </w:rPr>
        <w:t>Dağıtılabilecek kâr payı avansı tutarının %10’u 2. tertip yedek akçe olarak ayrılır.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A2E38"/>
    <w:rsid w:val="00342A65"/>
    <w:rsid w:val="005E7363"/>
    <w:rsid w:val="00746DFC"/>
    <w:rsid w:val="00980866"/>
    <w:rsid w:val="00AA056E"/>
    <w:rsid w:val="00D91315"/>
    <w:rsid w:val="00DE6CD4"/>
    <w:rsid w:val="00F17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2/08/20120809-20-1.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2017-11-14T07:21:00Z</dcterms:created>
  <dcterms:modified xsi:type="dcterms:W3CDTF">2017-11-14T07:26:00Z</dcterms:modified>
</cp:coreProperties>
</file>